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eastAsia" w:ascii="Times New Roman" w:hAnsi="Times New Roman" w:cs="Times New Roman" w:eastAsiaTheme="minorEastAsia"/>
          <w:b/>
          <w:bCs/>
          <w:sz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eastAsia="zh-CN"/>
        </w:rPr>
        <w:t>附件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1</w:t>
      </w:r>
    </w:p>
    <w:p>
      <w:pPr>
        <w:spacing w:line="360" w:lineRule="auto"/>
        <w:ind w:firstLine="0" w:firstLineChars="0"/>
        <w:rPr>
          <w:rFonts w:ascii="Times New Roman" w:hAnsi="Times New Roman" w:cs="Times New Roman"/>
          <w:sz w:val="24"/>
        </w:rPr>
      </w:pP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南京医科大学“高水平创新团队”建设项目招标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指南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Chars="0"/>
        <w:jc w:val="both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项目总体目标。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推进健康中国建设，落实我省“两聚一高”战略部署，按照国家“双一流”大学建设的要求，结合国家中长期教育进一步彰显特色优势、夯实江苏高水平大学建设的核心基础，支持具备一定实力的学科团队率先建成国内领先、国际知名的高水平医学创新团队，加快走向世界一流，进一步提升综合实力和国际竞争力，为“迈上新台阶、建设新江苏”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（二）项目重点任务。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社会经济以及医学发展的重大需求为主旨，学科建设机制体制改革为核心，以高水平创新团队建设为载体，以创新资源有效汇聚为保障，提升我校人才、学科、科研三位一体的创新能力。突破不同学科之间的发展壁垒，充分释放人才、信息、技术、资本等创新要素的活力，大力推进我校传统学科之间的深度合作，探索适应于不同社会需求的创新人才团队培育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outlineLvl w:val="9"/>
        <w:rPr>
          <w:rFonts w:ascii="Times New Roman" w:hAnsi="Times New Roman" w:cs="Times New Roman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（三）项目名称：“高水平创新团队”建设项目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项目一：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以国内一流学科为目标，建成代表我校新兴交叉学科研究领域人才培养水平与能力的</w:t>
      </w: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“高水平创新团队”。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项目二、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以热点医学问题研究为导向，面向亟待解决的医学问题，通过前后期的交叉融合，培育出我校提升学科水平的</w:t>
      </w: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“高水平创新团队（培育）”。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（四）实施范围。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面向我校各传统一级学科目录外的新兴交叉学科，以某个一级学科为实施主体，积极吸纳其他一级学科领域人才参与组建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高水平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创新团队。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jc w:val="both"/>
        <w:textAlignment w:val="auto"/>
        <w:outlineLvl w:val="9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经费支持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该项目自201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年启动实施。研究生院每年组织一次“高水平创新团队”申报认定，通过认定的创新团队建设运行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研究生院将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择期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进行评估，根据评估结果确定是否继续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滚动支持。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本期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计划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支持建设2个“高水平创新团队”，每个团队支持经费为300万元人民币。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本期项目计划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支持建设4个“高水平创新团队（培育）”，每个团队支持经费为100万元人民币。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（七）申报要求：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1、基本条件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（1）创新团队要有明确的带头人，带头人在学科领域有一定的声望和影响力，具备组织创新团队顺利开展工作的能力和实力。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（2）根据具体的科研任务，初步建立了实质性创新团队，聚集了一批优秀人才，团队各方任务明确，职责清晰，初步建立了优势互补、互利共赢的团队合作机制和形式，形成了良好的团队氛围。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（3）团队主要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方向带头人（</w:t>
      </w:r>
      <w:r>
        <w:rPr>
          <w:rFonts w:ascii="Times New Roman" w:hAnsi="Times New Roman" w:eastAsia="仿宋_GB2312" w:cs="Times New Roman"/>
          <w:sz w:val="32"/>
          <w:szCs w:val="32"/>
        </w:rPr>
        <w:t>PI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至少需跨两个一级学科。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（4）生殖医学国家重点实验室和心血管病国家重点实验室（培育）的主要负责人和方向带头人不可牵头申报；江苏高校优势学科、江苏省重点学科（包括培育）带头人不可牵头申报。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（5）团队带头人只能申请一项，亦不可作为其他团队的方向带头人；方向带头人最多只能参加两个团队。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（1）“高水平创新团队”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主要方向带头人需4-8人，其中至少50%要符合以下条件之一：四部委国家级人才头衔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近5年发表IF&gt;10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ascii="Times New Roman" w:hAnsi="Times New Roman" w:eastAsia="仿宋_GB2312" w:cs="Times New Roman"/>
          <w:sz w:val="32"/>
          <w:szCs w:val="32"/>
        </w:rPr>
        <w:t>通讯作者文章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省部级一等奖及以上奖项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完成人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。所有PI均为博士生导师。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（2）“高水平创新团队（培育）”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主要方向带头人需3-6人，其中至少50%要符合以下条件之一：四部委国家级人才头衔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或江苏特聘教授或省“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”工程二层次及以上人才头衔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；近5年发表IF&gt;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通讯作者文章；省部级二等奖第一完成人或省部级一等奖及以上奖项主要完成人（前三）。所有PI均为博士生导师。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获得滚动支持需取得的成果基本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（1）“高水平创新团队”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在滚动评估期前需获得以下成果之一：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①获得</w:t>
      </w:r>
      <w:r>
        <w:rPr>
          <w:rFonts w:ascii="Times New Roman" w:hAnsi="Times New Roman" w:eastAsia="仿宋_GB2312" w:cs="Times New Roman"/>
          <w:sz w:val="32"/>
          <w:szCs w:val="32"/>
        </w:rPr>
        <w:t>四部委国家级人才头衔（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千人、万人、长江、杰青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至少1项；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</w:rPr>
        <w:t>发表IF&gt;10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ascii="Times New Roman" w:hAnsi="Times New Roman" w:eastAsia="仿宋_GB2312" w:cs="Times New Roman"/>
          <w:sz w:val="32"/>
          <w:szCs w:val="32"/>
        </w:rPr>
        <w:t>通讯作者文章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至少2篇；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③以</w:t>
      </w:r>
      <w:r>
        <w:rPr>
          <w:rFonts w:ascii="Times New Roman" w:hAnsi="Times New Roman" w:eastAsia="仿宋_GB2312" w:cs="Times New Roman"/>
          <w:sz w:val="32"/>
          <w:szCs w:val="32"/>
        </w:rPr>
        <w:t>第一完成人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获得</w:t>
      </w:r>
      <w:r>
        <w:rPr>
          <w:rFonts w:ascii="Times New Roman" w:hAnsi="Times New Roman" w:eastAsia="仿宋_GB2312" w:cs="Times New Roman"/>
          <w:sz w:val="32"/>
          <w:szCs w:val="32"/>
        </w:rPr>
        <w:t>省部级一等奖及以上奖项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，或参与获得国家奖（前二）至少1项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（2）“高水平创新团队（培育）”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在滚动评估期前需获得以下成果之一：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四部委国家级人才头衔（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青千、青拔、青长、优青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至少1项；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</w:rPr>
        <w:t>发表IF&gt;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8.0</w:t>
      </w:r>
      <w:r>
        <w:rPr>
          <w:rFonts w:ascii="Times New Roman" w:hAnsi="Times New Roman" w:eastAsia="仿宋_GB2312" w:cs="Times New Roman"/>
          <w:sz w:val="32"/>
          <w:szCs w:val="32"/>
        </w:rPr>
        <w:t>通讯作者文章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至少2篇；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③以</w:t>
      </w:r>
      <w:r>
        <w:rPr>
          <w:rFonts w:ascii="Times New Roman" w:hAnsi="Times New Roman" w:eastAsia="仿宋_GB2312" w:cs="Times New Roman"/>
          <w:sz w:val="32"/>
          <w:szCs w:val="32"/>
        </w:rPr>
        <w:t>第一完成人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获得</w:t>
      </w:r>
      <w:r>
        <w:rPr>
          <w:rFonts w:ascii="Times New Roman" w:hAnsi="Times New Roman" w:eastAsia="仿宋_GB2312" w:cs="Times New Roman"/>
          <w:sz w:val="32"/>
          <w:szCs w:val="32"/>
        </w:rPr>
        <w:t>省部级二等奖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及以上奖项，或参与获得国家奖（前三）至少1项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其他要求</w:t>
      </w:r>
      <w:r>
        <w:rPr>
          <w:rFonts w:ascii="Times New Roman" w:hAnsi="Times New Roman" w:eastAsia="仿宋_GB2312" w:cs="Times New Roman"/>
          <w:sz w:val="32"/>
          <w:szCs w:val="32"/>
        </w:rPr>
        <w:t>：本次项目采用线下申报，请申请人填写附件的项目申报书正文部分，完成后提交电子版和纸质材料。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项目申报截止日期：2018年1月10日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项目答辩时间：2018年1月20日。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未尽事宜请与学科建设办公室联系。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联系人：刘继永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电话：025-86869227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3520" w:firstLineChars="11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Email：bsh@njmu.edu.cn。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A25"/>
    <w:multiLevelType w:val="multilevel"/>
    <w:tmpl w:val="0B027A25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A289035"/>
    <w:multiLevelType w:val="singleLevel"/>
    <w:tmpl w:val="5A289035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55B74"/>
    <w:rsid w:val="14B91475"/>
    <w:rsid w:val="1A9816E6"/>
    <w:rsid w:val="414241D6"/>
    <w:rsid w:val="416E48AC"/>
    <w:rsid w:val="43EB7B14"/>
    <w:rsid w:val="46FC54C8"/>
    <w:rsid w:val="501D2040"/>
    <w:rsid w:val="6197020A"/>
    <w:rsid w:val="76B55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2017-12-11T04:48:00Z</dcterms:created>
  <dc:creator>dell</dc:creator>
  <cp:lastModifiedBy>dell</cp:lastModifiedBy>
  <dcterms:modified xsi:type="dcterms:W3CDTF">2017-12-18T01:48:06Z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